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ayout w:type="fixed"/>
        <w:tblLook w:val="04A0" w:firstRow="1" w:lastRow="0" w:firstColumn="1" w:lastColumn="0" w:noHBand="0" w:noVBand="1"/>
      </w:tblPr>
      <w:tblGrid>
        <w:gridCol w:w="591"/>
        <w:gridCol w:w="2037"/>
        <w:gridCol w:w="2790"/>
        <w:gridCol w:w="3960"/>
        <w:gridCol w:w="5719"/>
      </w:tblGrid>
      <w:tr w:rsidR="001E3CEC" w:rsidRPr="00D6715D" w:rsidTr="0003361E">
        <w:tc>
          <w:tcPr>
            <w:tcW w:w="591" w:type="dxa"/>
          </w:tcPr>
          <w:p w:rsidR="001E3CEC" w:rsidRPr="00D6715D" w:rsidRDefault="001E3CEC" w:rsidP="009D3912">
            <w:pPr>
              <w:pStyle w:val="Default"/>
              <w:jc w:val="center"/>
              <w:rPr>
                <w:rFonts w:ascii="Book Antiqua" w:hAnsi="Book Antiqua"/>
                <w:b/>
                <w:bCs/>
                <w:sz w:val="22"/>
                <w:szCs w:val="22"/>
              </w:rPr>
            </w:pPr>
            <w:r w:rsidRPr="00D6715D">
              <w:rPr>
                <w:rFonts w:ascii="Book Antiqua" w:hAnsi="Book Antiqua"/>
                <w:b/>
                <w:bCs/>
                <w:sz w:val="22"/>
                <w:szCs w:val="22"/>
              </w:rPr>
              <w:t>SN</w:t>
            </w:r>
          </w:p>
        </w:tc>
        <w:tc>
          <w:tcPr>
            <w:tcW w:w="2037" w:type="dxa"/>
          </w:tcPr>
          <w:p w:rsidR="001E3CEC" w:rsidRPr="00D6715D" w:rsidRDefault="001E3CEC" w:rsidP="009D3912">
            <w:pPr>
              <w:pStyle w:val="Default"/>
              <w:jc w:val="center"/>
              <w:rPr>
                <w:rFonts w:ascii="Book Antiqua" w:hAnsi="Book Antiqua"/>
                <w:b/>
                <w:bCs/>
                <w:sz w:val="22"/>
                <w:szCs w:val="22"/>
              </w:rPr>
            </w:pPr>
            <w:r w:rsidRPr="00D6715D">
              <w:rPr>
                <w:rFonts w:ascii="Book Antiqua" w:hAnsi="Book Antiqua"/>
                <w:b/>
                <w:bCs/>
                <w:sz w:val="22"/>
                <w:szCs w:val="22"/>
              </w:rPr>
              <w:t>Clause No.</w:t>
            </w:r>
          </w:p>
        </w:tc>
        <w:tc>
          <w:tcPr>
            <w:tcW w:w="2790" w:type="dxa"/>
          </w:tcPr>
          <w:p w:rsidR="001E3CEC" w:rsidRPr="001E3CEC" w:rsidRDefault="001E3CEC" w:rsidP="001E3CEC">
            <w:pPr>
              <w:pStyle w:val="Default"/>
              <w:jc w:val="center"/>
              <w:rPr>
                <w:rFonts w:ascii="Book Antiqua" w:hAnsi="Book Antiqua"/>
                <w:b/>
                <w:bCs/>
                <w:sz w:val="22"/>
                <w:szCs w:val="22"/>
              </w:rPr>
            </w:pPr>
            <w:r w:rsidRPr="001E3CEC">
              <w:rPr>
                <w:rFonts w:ascii="Book Antiqua" w:hAnsi="Book Antiqua"/>
                <w:b/>
                <w:bCs/>
                <w:sz w:val="22"/>
                <w:szCs w:val="22"/>
              </w:rPr>
              <w:t>Provision in the Bidding Documents</w:t>
            </w:r>
          </w:p>
        </w:tc>
        <w:tc>
          <w:tcPr>
            <w:tcW w:w="3960" w:type="dxa"/>
          </w:tcPr>
          <w:p w:rsidR="001E3CEC" w:rsidRPr="001E3CEC" w:rsidRDefault="001E3CEC" w:rsidP="001E3CEC">
            <w:pPr>
              <w:pStyle w:val="Default"/>
              <w:jc w:val="center"/>
              <w:rPr>
                <w:rFonts w:ascii="Book Antiqua" w:hAnsi="Book Antiqua"/>
                <w:b/>
                <w:bCs/>
                <w:sz w:val="22"/>
                <w:szCs w:val="22"/>
              </w:rPr>
            </w:pPr>
            <w:r w:rsidRPr="001E3CEC">
              <w:rPr>
                <w:rFonts w:ascii="Book Antiqua" w:hAnsi="Book Antiqua"/>
                <w:b/>
                <w:bCs/>
                <w:sz w:val="22"/>
                <w:szCs w:val="22"/>
              </w:rPr>
              <w:t>Bidder’s Query/Comments</w:t>
            </w:r>
          </w:p>
        </w:tc>
        <w:tc>
          <w:tcPr>
            <w:tcW w:w="5719" w:type="dxa"/>
          </w:tcPr>
          <w:p w:rsidR="001E3CEC" w:rsidRPr="00D6715D" w:rsidRDefault="001E3CEC" w:rsidP="009D3912">
            <w:pPr>
              <w:pStyle w:val="Default"/>
              <w:jc w:val="center"/>
              <w:rPr>
                <w:rFonts w:ascii="Book Antiqua" w:hAnsi="Book Antiqua"/>
                <w:b/>
                <w:bCs/>
                <w:sz w:val="22"/>
                <w:szCs w:val="22"/>
              </w:rPr>
            </w:pPr>
            <w:r w:rsidRPr="001E3CEC">
              <w:rPr>
                <w:rFonts w:ascii="Book Antiqua" w:hAnsi="Book Antiqua"/>
                <w:b/>
                <w:bCs/>
                <w:sz w:val="22"/>
                <w:szCs w:val="22"/>
              </w:rPr>
              <w:t>POWERGRID’S Reply/Clarification</w:t>
            </w:r>
          </w:p>
        </w:tc>
      </w:tr>
      <w:tr w:rsidR="007E5570" w:rsidRPr="00D6715D" w:rsidTr="0003361E">
        <w:tc>
          <w:tcPr>
            <w:tcW w:w="591" w:type="dxa"/>
          </w:tcPr>
          <w:p w:rsidR="004A5755" w:rsidRPr="00D6715D" w:rsidRDefault="00932A95" w:rsidP="004A5755">
            <w:pPr>
              <w:pStyle w:val="Default"/>
              <w:jc w:val="center"/>
              <w:rPr>
                <w:rFonts w:ascii="Book Antiqua" w:hAnsi="Book Antiqua"/>
                <w:b/>
                <w:bCs/>
                <w:sz w:val="22"/>
                <w:szCs w:val="22"/>
              </w:rPr>
            </w:pPr>
            <w:r w:rsidRPr="00D6715D">
              <w:rPr>
                <w:rFonts w:ascii="Book Antiqua" w:hAnsi="Book Antiqua"/>
                <w:b/>
                <w:bCs/>
                <w:sz w:val="22"/>
                <w:szCs w:val="22"/>
              </w:rPr>
              <w:t>1</w:t>
            </w:r>
          </w:p>
        </w:tc>
        <w:tc>
          <w:tcPr>
            <w:tcW w:w="2037" w:type="dxa"/>
          </w:tcPr>
          <w:p w:rsidR="004A5755" w:rsidRDefault="00953CB9" w:rsidP="00874EEC">
            <w:pPr>
              <w:pStyle w:val="Default"/>
              <w:jc w:val="both"/>
              <w:rPr>
                <w:rFonts w:ascii="Book Antiqua" w:hAnsi="Book Antiqua"/>
                <w:b/>
                <w:bCs/>
                <w:sz w:val="22"/>
                <w:szCs w:val="22"/>
              </w:rPr>
            </w:pPr>
            <w:r>
              <w:rPr>
                <w:rFonts w:ascii="Book Antiqua" w:hAnsi="Book Antiqua"/>
                <w:b/>
                <w:bCs/>
                <w:sz w:val="22"/>
                <w:szCs w:val="22"/>
              </w:rPr>
              <w:t xml:space="preserve">Price Schedules, </w:t>
            </w:r>
            <w:r w:rsidRPr="00D6715D">
              <w:rPr>
                <w:rFonts w:ascii="Book Antiqua" w:hAnsi="Book Antiqua"/>
                <w:b/>
                <w:bCs/>
                <w:sz w:val="22"/>
                <w:szCs w:val="22"/>
              </w:rPr>
              <w:t>Volume I</w:t>
            </w:r>
            <w:r>
              <w:rPr>
                <w:rFonts w:ascii="Book Antiqua" w:hAnsi="Book Antiqua"/>
                <w:b/>
                <w:bCs/>
                <w:sz w:val="22"/>
                <w:szCs w:val="22"/>
              </w:rPr>
              <w:t>II and Technical Specification</w:t>
            </w:r>
            <w:bookmarkStart w:id="0" w:name="_GoBack"/>
            <w:bookmarkEnd w:id="0"/>
            <w:r>
              <w:rPr>
                <w:rFonts w:ascii="Book Antiqua" w:hAnsi="Book Antiqua"/>
                <w:b/>
                <w:bCs/>
                <w:sz w:val="22"/>
                <w:szCs w:val="22"/>
              </w:rPr>
              <w:t>, Volume II of the Bidding Documents</w:t>
            </w:r>
          </w:p>
          <w:p w:rsidR="00953CB9" w:rsidRPr="00D6715D" w:rsidRDefault="00953CB9" w:rsidP="00874EEC">
            <w:pPr>
              <w:pStyle w:val="Default"/>
              <w:jc w:val="both"/>
              <w:rPr>
                <w:rFonts w:ascii="Book Antiqua" w:hAnsi="Book Antiqua"/>
                <w:b/>
                <w:bCs/>
                <w:sz w:val="22"/>
                <w:szCs w:val="22"/>
              </w:rPr>
            </w:pPr>
          </w:p>
        </w:tc>
        <w:tc>
          <w:tcPr>
            <w:tcW w:w="2790" w:type="dxa"/>
          </w:tcPr>
          <w:p w:rsidR="00B9487A" w:rsidRPr="00D6715D" w:rsidRDefault="00874EEC" w:rsidP="00B9487A">
            <w:pPr>
              <w:jc w:val="both"/>
              <w:rPr>
                <w:rFonts w:ascii="Book Antiqua" w:hAnsi="Book Antiqua" w:cs="Arial"/>
                <w:snapToGrid w:val="0"/>
              </w:rPr>
            </w:pPr>
            <w:r>
              <w:rPr>
                <w:rFonts w:ascii="Book Antiqua" w:hAnsi="Book Antiqua" w:cs="Arial"/>
                <w:snapToGrid w:val="0"/>
              </w:rPr>
              <w:t xml:space="preserve">For Pipe Type Chemical </w:t>
            </w:r>
            <w:proofErr w:type="spellStart"/>
            <w:r>
              <w:rPr>
                <w:rFonts w:ascii="Book Antiqua" w:hAnsi="Book Antiqua" w:cs="Arial"/>
                <w:snapToGrid w:val="0"/>
              </w:rPr>
              <w:t>Earthing</w:t>
            </w:r>
            <w:proofErr w:type="spellEnd"/>
            <w:r>
              <w:rPr>
                <w:rFonts w:ascii="Book Antiqua" w:hAnsi="Book Antiqua" w:cs="Arial"/>
                <w:snapToGrid w:val="0"/>
              </w:rPr>
              <w:t xml:space="preserve"> &amp; Counterpoise Chemical </w:t>
            </w:r>
            <w:proofErr w:type="spellStart"/>
            <w:r>
              <w:rPr>
                <w:rFonts w:ascii="Book Antiqua" w:hAnsi="Book Antiqua" w:cs="Arial"/>
                <w:snapToGrid w:val="0"/>
              </w:rPr>
              <w:t>Earthing</w:t>
            </w:r>
            <w:proofErr w:type="spellEnd"/>
            <w:r>
              <w:rPr>
                <w:rFonts w:ascii="Book Antiqua" w:hAnsi="Book Antiqua" w:cs="Arial"/>
                <w:snapToGrid w:val="0"/>
              </w:rPr>
              <w:t xml:space="preserve"> </w:t>
            </w:r>
          </w:p>
          <w:p w:rsidR="004A5755" w:rsidRPr="00D6715D" w:rsidDel="008E1970" w:rsidRDefault="004A5755" w:rsidP="000F36BF">
            <w:pPr>
              <w:jc w:val="both"/>
              <w:rPr>
                <w:rFonts w:ascii="Book Antiqua" w:hAnsi="Book Antiqua"/>
                <w:b/>
                <w:bCs/>
              </w:rPr>
            </w:pPr>
          </w:p>
        </w:tc>
        <w:tc>
          <w:tcPr>
            <w:tcW w:w="3960" w:type="dxa"/>
          </w:tcPr>
          <w:p w:rsidR="00D7557B" w:rsidRPr="00EC7BA0" w:rsidRDefault="00874EEC" w:rsidP="00EC7BA0">
            <w:pPr>
              <w:jc w:val="both"/>
              <w:rPr>
                <w:rFonts w:ascii="Book Antiqua" w:hAnsi="Book Antiqua"/>
                <w:b/>
                <w:bCs/>
                <w:color w:val="000000" w:themeColor="text1"/>
              </w:rPr>
            </w:pPr>
            <w:r w:rsidRPr="00EC7BA0">
              <w:rPr>
                <w:rFonts w:ascii="Book Antiqua" w:hAnsi="Book Antiqua" w:cs="Arial"/>
                <w:snapToGrid w:val="0"/>
                <w:color w:val="000000" w:themeColor="text1"/>
              </w:rPr>
              <w:t xml:space="preserve">The Drawing </w:t>
            </w:r>
            <w:r w:rsidR="008F0FD8" w:rsidRPr="00EC7BA0">
              <w:rPr>
                <w:rFonts w:ascii="Book Antiqua" w:hAnsi="Book Antiqua" w:cs="Arial"/>
                <w:snapToGrid w:val="0"/>
                <w:color w:val="000000" w:themeColor="text1"/>
              </w:rPr>
              <w:t>for Pipe</w:t>
            </w:r>
            <w:r w:rsidRPr="00EC7BA0">
              <w:rPr>
                <w:rFonts w:ascii="Book Antiqua" w:hAnsi="Book Antiqua" w:cs="Arial"/>
                <w:snapToGrid w:val="0"/>
                <w:color w:val="000000" w:themeColor="text1"/>
              </w:rPr>
              <w:t xml:space="preserve"> Type-Chemical &amp; Counter Poise-Chemical is not clear, please provide t</w:t>
            </w:r>
            <w:r w:rsidR="00EC7BA0" w:rsidRPr="00EC7BA0">
              <w:rPr>
                <w:rFonts w:ascii="Book Antiqua" w:hAnsi="Book Antiqua" w:cs="Arial"/>
                <w:snapToGrid w:val="0"/>
                <w:color w:val="000000" w:themeColor="text1"/>
              </w:rPr>
              <w:t xml:space="preserve">he clear drawings. Also, please specify the Chemical compound to be used. Please provide us the name of approved PGCIL vendors for Chemical </w:t>
            </w:r>
            <w:proofErr w:type="spellStart"/>
            <w:r w:rsidR="00EC7BA0" w:rsidRPr="00EC7BA0">
              <w:rPr>
                <w:rFonts w:ascii="Book Antiqua" w:hAnsi="Book Antiqua" w:cs="Arial"/>
                <w:snapToGrid w:val="0"/>
                <w:color w:val="000000" w:themeColor="text1"/>
              </w:rPr>
              <w:t>Earthing</w:t>
            </w:r>
            <w:proofErr w:type="spellEnd"/>
            <w:r w:rsidR="00EC7BA0" w:rsidRPr="00EC7BA0">
              <w:rPr>
                <w:rFonts w:ascii="Book Antiqua" w:hAnsi="Book Antiqua" w:cs="Arial"/>
                <w:snapToGrid w:val="0"/>
                <w:color w:val="000000" w:themeColor="text1"/>
              </w:rPr>
              <w:t xml:space="preserve"> </w:t>
            </w:r>
          </w:p>
        </w:tc>
        <w:tc>
          <w:tcPr>
            <w:tcW w:w="5719" w:type="dxa"/>
          </w:tcPr>
          <w:p w:rsidR="00137BC0" w:rsidRDefault="006A054D" w:rsidP="009F322F">
            <w:pPr>
              <w:pStyle w:val="Default"/>
              <w:jc w:val="both"/>
              <w:rPr>
                <w:rFonts w:ascii="Book Antiqua" w:hAnsi="Book Antiqua"/>
                <w:color w:val="211D1E"/>
                <w:sz w:val="22"/>
                <w:szCs w:val="22"/>
              </w:rPr>
            </w:pPr>
            <w:r>
              <w:rPr>
                <w:rFonts w:ascii="Book Antiqua" w:hAnsi="Book Antiqua"/>
                <w:color w:val="211D1E"/>
                <w:sz w:val="22"/>
                <w:szCs w:val="22"/>
              </w:rPr>
              <w:t xml:space="preserve">Drawings provided with bidding documents are clear. </w:t>
            </w:r>
            <w:r w:rsidR="009F322F">
              <w:rPr>
                <w:rFonts w:ascii="Book Antiqua" w:hAnsi="Book Antiqua"/>
                <w:color w:val="211D1E"/>
                <w:sz w:val="22"/>
                <w:szCs w:val="22"/>
              </w:rPr>
              <w:t xml:space="preserve">However, a copy of the same is enclosed for ready reference. </w:t>
            </w:r>
          </w:p>
          <w:p w:rsidR="0003361E" w:rsidRDefault="0003361E" w:rsidP="009F322F">
            <w:pPr>
              <w:pStyle w:val="Default"/>
              <w:jc w:val="both"/>
              <w:rPr>
                <w:rFonts w:ascii="Book Antiqua" w:hAnsi="Book Antiqua"/>
                <w:color w:val="211D1E"/>
                <w:sz w:val="22"/>
                <w:szCs w:val="22"/>
              </w:rPr>
            </w:pPr>
          </w:p>
          <w:p w:rsidR="005866D2" w:rsidRDefault="009F322F" w:rsidP="005866D2">
            <w:pPr>
              <w:pStyle w:val="Default"/>
              <w:jc w:val="both"/>
              <w:rPr>
                <w:rFonts w:ascii="Book Antiqua" w:hAnsi="Book Antiqua"/>
                <w:color w:val="211D1E"/>
                <w:sz w:val="22"/>
                <w:szCs w:val="22"/>
              </w:rPr>
            </w:pPr>
            <w:r>
              <w:rPr>
                <w:rFonts w:ascii="Book Antiqua" w:hAnsi="Book Antiqua"/>
                <w:color w:val="211D1E"/>
                <w:sz w:val="22"/>
                <w:szCs w:val="22"/>
              </w:rPr>
              <w:t>The properties of the chemical to be used are indicated at cl</w:t>
            </w:r>
            <w:r w:rsidR="006A054D">
              <w:rPr>
                <w:rFonts w:ascii="Book Antiqua" w:hAnsi="Book Antiqua"/>
                <w:color w:val="211D1E"/>
                <w:sz w:val="22"/>
                <w:szCs w:val="22"/>
              </w:rPr>
              <w:t>. 1.7.5 of sectio</w:t>
            </w:r>
            <w:r w:rsidR="00861598">
              <w:rPr>
                <w:rFonts w:ascii="Book Antiqua" w:hAnsi="Book Antiqua"/>
                <w:color w:val="211D1E"/>
                <w:sz w:val="22"/>
                <w:szCs w:val="22"/>
              </w:rPr>
              <w:t>n IV of Technical Specification</w:t>
            </w:r>
            <w:r w:rsidR="006A054D">
              <w:rPr>
                <w:rFonts w:ascii="Book Antiqua" w:hAnsi="Book Antiqua"/>
                <w:color w:val="211D1E"/>
                <w:sz w:val="22"/>
                <w:szCs w:val="22"/>
              </w:rPr>
              <w:t xml:space="preserve">. </w:t>
            </w:r>
          </w:p>
          <w:p w:rsidR="0003361E" w:rsidRDefault="0003361E" w:rsidP="005866D2">
            <w:pPr>
              <w:pStyle w:val="Default"/>
              <w:jc w:val="both"/>
              <w:rPr>
                <w:rFonts w:ascii="Book Antiqua" w:hAnsi="Book Antiqua"/>
                <w:color w:val="211D1E"/>
                <w:sz w:val="22"/>
                <w:szCs w:val="22"/>
              </w:rPr>
            </w:pPr>
          </w:p>
          <w:p w:rsidR="004A5755" w:rsidRDefault="005866D2" w:rsidP="005866D2">
            <w:pPr>
              <w:pStyle w:val="Default"/>
              <w:jc w:val="both"/>
              <w:rPr>
                <w:rFonts w:ascii="Book Antiqua" w:hAnsi="Book Antiqua"/>
                <w:color w:val="211D1E"/>
                <w:sz w:val="22"/>
                <w:szCs w:val="22"/>
              </w:rPr>
            </w:pPr>
            <w:r>
              <w:rPr>
                <w:rFonts w:ascii="Book Antiqua" w:hAnsi="Book Antiqua"/>
                <w:color w:val="211D1E"/>
                <w:sz w:val="22"/>
                <w:szCs w:val="22"/>
              </w:rPr>
              <w:t xml:space="preserve">The chemical </w:t>
            </w:r>
            <w:proofErr w:type="spellStart"/>
            <w:r>
              <w:rPr>
                <w:rFonts w:ascii="Book Antiqua" w:hAnsi="Book Antiqua"/>
                <w:color w:val="211D1E"/>
                <w:sz w:val="22"/>
                <w:szCs w:val="22"/>
              </w:rPr>
              <w:t>earthing</w:t>
            </w:r>
            <w:proofErr w:type="spellEnd"/>
            <w:r>
              <w:rPr>
                <w:rFonts w:ascii="Book Antiqua" w:hAnsi="Book Antiqua"/>
                <w:color w:val="211D1E"/>
                <w:sz w:val="22"/>
                <w:szCs w:val="22"/>
              </w:rPr>
              <w:t xml:space="preserve"> is to be carried out by the contractor. In case during execution stage the contractor propose any separate agency or subcontractor for the work, the details shall be submitted by contractor for review and approval of POWERGRID site in-charge as per relevant provision of bidding document engagement of sub vendor. </w:t>
            </w:r>
            <w:r w:rsidR="004876A3">
              <w:rPr>
                <w:rFonts w:ascii="Book Antiqua" w:hAnsi="Book Antiqua"/>
                <w:color w:val="211D1E"/>
                <w:sz w:val="22"/>
                <w:szCs w:val="22"/>
              </w:rPr>
              <w:t xml:space="preserve"> </w:t>
            </w:r>
          </w:p>
          <w:p w:rsidR="0003361E" w:rsidRPr="00D6715D" w:rsidRDefault="0003361E" w:rsidP="005866D2">
            <w:pPr>
              <w:pStyle w:val="Default"/>
              <w:jc w:val="both"/>
              <w:rPr>
                <w:rFonts w:ascii="Book Antiqua" w:hAnsi="Book Antiqua"/>
                <w:color w:val="211D1E"/>
                <w:sz w:val="22"/>
                <w:szCs w:val="22"/>
              </w:rPr>
            </w:pPr>
          </w:p>
        </w:tc>
      </w:tr>
      <w:tr w:rsidR="004A5755" w:rsidRPr="00D6715D" w:rsidTr="0003361E">
        <w:trPr>
          <w:trHeight w:val="1187"/>
        </w:trPr>
        <w:tc>
          <w:tcPr>
            <w:tcW w:w="591" w:type="dxa"/>
          </w:tcPr>
          <w:p w:rsidR="004A5755" w:rsidRPr="00D6715D" w:rsidRDefault="00932A95" w:rsidP="004A5755">
            <w:pPr>
              <w:pStyle w:val="Default"/>
              <w:jc w:val="center"/>
              <w:rPr>
                <w:rFonts w:ascii="Book Antiqua" w:hAnsi="Book Antiqua"/>
                <w:b/>
                <w:bCs/>
                <w:sz w:val="22"/>
                <w:szCs w:val="22"/>
              </w:rPr>
            </w:pPr>
            <w:r w:rsidRPr="00D6715D">
              <w:rPr>
                <w:rFonts w:ascii="Book Antiqua" w:hAnsi="Book Antiqua"/>
                <w:b/>
                <w:bCs/>
                <w:sz w:val="22"/>
                <w:szCs w:val="22"/>
              </w:rPr>
              <w:t>2</w:t>
            </w:r>
          </w:p>
        </w:tc>
        <w:tc>
          <w:tcPr>
            <w:tcW w:w="2037" w:type="dxa"/>
          </w:tcPr>
          <w:p w:rsidR="00953CB9" w:rsidRDefault="00953CB9" w:rsidP="00953CB9">
            <w:pPr>
              <w:pStyle w:val="Default"/>
              <w:jc w:val="both"/>
              <w:rPr>
                <w:rFonts w:ascii="Book Antiqua" w:hAnsi="Book Antiqua"/>
                <w:b/>
                <w:bCs/>
                <w:sz w:val="22"/>
                <w:szCs w:val="22"/>
              </w:rPr>
            </w:pPr>
            <w:r>
              <w:rPr>
                <w:rFonts w:ascii="Book Antiqua" w:hAnsi="Book Antiqua"/>
                <w:b/>
                <w:bCs/>
                <w:sz w:val="22"/>
                <w:szCs w:val="22"/>
              </w:rPr>
              <w:t xml:space="preserve">Price Schedules, </w:t>
            </w:r>
            <w:r w:rsidRPr="00D6715D">
              <w:rPr>
                <w:rFonts w:ascii="Book Antiqua" w:hAnsi="Book Antiqua"/>
                <w:b/>
                <w:bCs/>
                <w:sz w:val="22"/>
                <w:szCs w:val="22"/>
              </w:rPr>
              <w:t>Volume I</w:t>
            </w:r>
            <w:r>
              <w:rPr>
                <w:rFonts w:ascii="Book Antiqua" w:hAnsi="Book Antiqua"/>
                <w:b/>
                <w:bCs/>
                <w:sz w:val="22"/>
                <w:szCs w:val="22"/>
              </w:rPr>
              <w:t>II and Technical Specification, Volume II of the Bidding Documents</w:t>
            </w:r>
          </w:p>
          <w:p w:rsidR="004A5755" w:rsidRPr="00EC7BA0" w:rsidRDefault="004A5755" w:rsidP="00EC7BA0">
            <w:pPr>
              <w:autoSpaceDE w:val="0"/>
              <w:autoSpaceDN w:val="0"/>
              <w:adjustRightInd w:val="0"/>
              <w:rPr>
                <w:rFonts w:ascii="Book Antiqua" w:hAnsi="Book Antiqua" w:cs="Bookman Old Style"/>
                <w:color w:val="000000"/>
              </w:rPr>
            </w:pPr>
          </w:p>
        </w:tc>
        <w:tc>
          <w:tcPr>
            <w:tcW w:w="2790" w:type="dxa"/>
          </w:tcPr>
          <w:p w:rsidR="004A5755" w:rsidRPr="00D6715D" w:rsidRDefault="00EC7BA0" w:rsidP="00466B38">
            <w:pPr>
              <w:pStyle w:val="Default"/>
              <w:jc w:val="both"/>
              <w:rPr>
                <w:rFonts w:ascii="Book Antiqua" w:hAnsi="Book Antiqua"/>
                <w:sz w:val="22"/>
                <w:szCs w:val="22"/>
              </w:rPr>
            </w:pPr>
            <w:r w:rsidRPr="00EC7BA0">
              <w:rPr>
                <w:rFonts w:ascii="Book Antiqua" w:hAnsi="Book Antiqua" w:cs="Arial"/>
                <w:bCs/>
                <w:snapToGrid w:val="0"/>
                <w:color w:val="auto"/>
                <w:sz w:val="22"/>
                <w:szCs w:val="22"/>
              </w:rPr>
              <w:t>Insulation s</w:t>
            </w:r>
            <w:r>
              <w:rPr>
                <w:rFonts w:ascii="Book Antiqua" w:hAnsi="Book Antiqua" w:cs="Arial"/>
                <w:bCs/>
                <w:snapToGrid w:val="0"/>
                <w:color w:val="auto"/>
                <w:sz w:val="22"/>
                <w:szCs w:val="22"/>
              </w:rPr>
              <w:t xml:space="preserve">leeve for </w:t>
            </w:r>
            <w:proofErr w:type="spellStart"/>
            <w:r>
              <w:rPr>
                <w:rFonts w:ascii="Book Antiqua" w:hAnsi="Book Antiqua" w:cs="Arial"/>
                <w:bCs/>
                <w:snapToGrid w:val="0"/>
                <w:color w:val="auto"/>
                <w:sz w:val="22"/>
                <w:szCs w:val="22"/>
              </w:rPr>
              <w:t>Powerline</w:t>
            </w:r>
            <w:proofErr w:type="spellEnd"/>
            <w:r>
              <w:rPr>
                <w:rFonts w:ascii="Book Antiqua" w:hAnsi="Book Antiqua" w:cs="Arial"/>
                <w:bCs/>
                <w:snapToGrid w:val="0"/>
                <w:color w:val="auto"/>
                <w:sz w:val="22"/>
                <w:szCs w:val="22"/>
              </w:rPr>
              <w:t>/NH/Expresswa</w:t>
            </w:r>
            <w:r w:rsidRPr="00EC7BA0">
              <w:rPr>
                <w:rFonts w:ascii="Book Antiqua" w:hAnsi="Book Antiqua" w:cs="Arial"/>
                <w:bCs/>
                <w:snapToGrid w:val="0"/>
                <w:color w:val="auto"/>
                <w:sz w:val="22"/>
                <w:szCs w:val="22"/>
              </w:rPr>
              <w:t>y crossing and Jumper of Transposition Tower</w:t>
            </w:r>
          </w:p>
        </w:tc>
        <w:tc>
          <w:tcPr>
            <w:tcW w:w="3960" w:type="dxa"/>
          </w:tcPr>
          <w:p w:rsidR="004A5755" w:rsidRPr="00EC7BA0" w:rsidRDefault="00EC7BA0" w:rsidP="00B9487A">
            <w:pPr>
              <w:widowControl w:val="0"/>
              <w:spacing w:after="420" w:line="298" w:lineRule="atLeast"/>
              <w:jc w:val="both"/>
              <w:rPr>
                <w:rFonts w:ascii="Book Antiqua" w:hAnsi="Book Antiqua"/>
                <w:color w:val="000000" w:themeColor="text1"/>
              </w:rPr>
            </w:pPr>
            <w:r w:rsidRPr="00EC7BA0">
              <w:rPr>
                <w:rFonts w:ascii="Book Antiqua" w:hAnsi="Book Antiqua"/>
                <w:color w:val="000000" w:themeColor="text1"/>
              </w:rPr>
              <w:t>Please provide the Technical Specification for Insulation Sleeves. Also, please provide the approved PGCIL vendors for supply of Insulation Sleeve.</w:t>
            </w:r>
          </w:p>
        </w:tc>
        <w:tc>
          <w:tcPr>
            <w:tcW w:w="5719" w:type="dxa"/>
          </w:tcPr>
          <w:p w:rsidR="005866D2" w:rsidRDefault="006A054D" w:rsidP="005866D2">
            <w:pPr>
              <w:pStyle w:val="Default"/>
              <w:jc w:val="both"/>
              <w:rPr>
                <w:rFonts w:ascii="Book Antiqua" w:hAnsi="Book Antiqua"/>
                <w:color w:val="211D1E"/>
                <w:sz w:val="22"/>
                <w:szCs w:val="22"/>
              </w:rPr>
            </w:pPr>
            <w:r>
              <w:rPr>
                <w:rFonts w:ascii="Book Antiqua" w:hAnsi="Book Antiqua"/>
                <w:color w:val="211D1E"/>
                <w:sz w:val="22"/>
                <w:szCs w:val="22"/>
              </w:rPr>
              <w:t xml:space="preserve">Technical </w:t>
            </w:r>
            <w:r w:rsidR="00861598">
              <w:rPr>
                <w:rFonts w:ascii="Book Antiqua" w:hAnsi="Book Antiqua"/>
                <w:color w:val="211D1E"/>
                <w:sz w:val="22"/>
                <w:szCs w:val="22"/>
              </w:rPr>
              <w:t>Specification</w:t>
            </w:r>
            <w:r w:rsidR="009D357A">
              <w:rPr>
                <w:rFonts w:ascii="Book Antiqua" w:hAnsi="Book Antiqua"/>
                <w:color w:val="211D1E"/>
                <w:sz w:val="22"/>
                <w:szCs w:val="22"/>
              </w:rPr>
              <w:t xml:space="preserve"> o</w:t>
            </w:r>
            <w:r w:rsidR="009F322F">
              <w:rPr>
                <w:rFonts w:ascii="Book Antiqua" w:hAnsi="Book Antiqua"/>
                <w:color w:val="211D1E"/>
                <w:sz w:val="22"/>
                <w:szCs w:val="22"/>
              </w:rPr>
              <w:t xml:space="preserve">f Insulation Sleeves is indicated at </w:t>
            </w:r>
            <w:r w:rsidR="009D357A">
              <w:rPr>
                <w:rFonts w:ascii="Book Antiqua" w:hAnsi="Book Antiqua"/>
                <w:color w:val="211D1E"/>
                <w:sz w:val="22"/>
                <w:szCs w:val="22"/>
              </w:rPr>
              <w:t>cl. 3.11.1 of section IV</w:t>
            </w:r>
            <w:r>
              <w:rPr>
                <w:rFonts w:ascii="Book Antiqua" w:hAnsi="Book Antiqua"/>
                <w:color w:val="211D1E"/>
                <w:sz w:val="22"/>
                <w:szCs w:val="22"/>
              </w:rPr>
              <w:t xml:space="preserve"> </w:t>
            </w:r>
            <w:r w:rsidR="00861598">
              <w:rPr>
                <w:rFonts w:ascii="Book Antiqua" w:hAnsi="Book Antiqua"/>
                <w:color w:val="211D1E"/>
                <w:sz w:val="22"/>
                <w:szCs w:val="22"/>
              </w:rPr>
              <w:t>of the Technical Specification</w:t>
            </w:r>
            <w:r w:rsidR="009D357A">
              <w:rPr>
                <w:rFonts w:ascii="Book Antiqua" w:hAnsi="Book Antiqua"/>
                <w:color w:val="211D1E"/>
                <w:sz w:val="22"/>
                <w:szCs w:val="22"/>
              </w:rPr>
              <w:t xml:space="preserve">. </w:t>
            </w:r>
          </w:p>
          <w:p w:rsidR="0003361E" w:rsidRDefault="0003361E" w:rsidP="005866D2">
            <w:pPr>
              <w:pStyle w:val="Default"/>
              <w:jc w:val="both"/>
              <w:rPr>
                <w:rFonts w:ascii="Book Antiqua" w:hAnsi="Book Antiqua"/>
                <w:color w:val="211D1E"/>
                <w:sz w:val="22"/>
                <w:szCs w:val="22"/>
              </w:rPr>
            </w:pPr>
          </w:p>
          <w:p w:rsidR="004A5755" w:rsidRDefault="005866D2" w:rsidP="005866D2">
            <w:pPr>
              <w:pStyle w:val="Default"/>
              <w:jc w:val="both"/>
              <w:rPr>
                <w:rFonts w:ascii="Book Antiqua" w:hAnsi="Book Antiqua"/>
                <w:color w:val="211D1E"/>
                <w:sz w:val="22"/>
                <w:szCs w:val="22"/>
              </w:rPr>
            </w:pPr>
            <w:r>
              <w:rPr>
                <w:rFonts w:ascii="Book Antiqua" w:hAnsi="Book Antiqua"/>
                <w:color w:val="211D1E"/>
                <w:sz w:val="22"/>
                <w:szCs w:val="22"/>
              </w:rPr>
              <w:t xml:space="preserve">Supply &amp; installation of insulation sleeves is to be carried out by the contractor. In case during execution stage the contractor propose any separate agency or subcontractor for the work, the details shall be submitted by contractor for review and approval of POWERGRID site in-charge as per relevant provision of bidding document engagement of sub vendor.  </w:t>
            </w:r>
          </w:p>
          <w:p w:rsidR="0003361E" w:rsidRPr="00D6715D" w:rsidRDefault="0003361E" w:rsidP="005866D2">
            <w:pPr>
              <w:pStyle w:val="Default"/>
              <w:jc w:val="both"/>
              <w:rPr>
                <w:rFonts w:ascii="Book Antiqua" w:hAnsi="Book Antiqua"/>
                <w:sz w:val="22"/>
                <w:szCs w:val="22"/>
              </w:rPr>
            </w:pPr>
          </w:p>
        </w:tc>
      </w:tr>
    </w:tbl>
    <w:p w:rsidR="00AF5340" w:rsidRDefault="00AF5340" w:rsidP="00AF5340">
      <w:pPr>
        <w:pStyle w:val="Default"/>
        <w:rPr>
          <w:rFonts w:ascii="Book Antiqua" w:hAnsi="Book Antiqua"/>
          <w:b/>
          <w:bCs/>
        </w:rPr>
      </w:pPr>
    </w:p>
    <w:sectPr w:rsidR="00AF5340" w:rsidSect="0040526D">
      <w:headerReference w:type="default" r:id="rId8"/>
      <w:footerReference w:type="default" r:id="rId9"/>
      <w:pgSz w:w="16838" w:h="11906" w:orient="landscape"/>
      <w:pgMar w:top="1980" w:right="1106" w:bottom="1350"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B50" w:rsidRDefault="00917B50" w:rsidP="0052235B">
      <w:pPr>
        <w:spacing w:after="0" w:line="240" w:lineRule="auto"/>
      </w:pPr>
      <w:r>
        <w:separator/>
      </w:r>
    </w:p>
  </w:endnote>
  <w:endnote w:type="continuationSeparator" w:id="0">
    <w:p w:rsidR="00917B50" w:rsidRDefault="00917B50" w:rsidP="00522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altName w:val="Courier"/>
    <w:panose1 w:val="00000400000000000000"/>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CEC" w:rsidRDefault="001E3CEC" w:rsidP="001E3CEC">
    <w:pPr>
      <w:pStyle w:val="Footer"/>
      <w:jc w:val="right"/>
    </w:pPr>
    <w:r w:rsidRPr="008B244D">
      <w:rPr>
        <w:rFonts w:ascii="Arial" w:hAnsi="Arial" w:cs="Arial"/>
        <w:b/>
        <w:u w:val="single"/>
      </w:rPr>
      <w:t xml:space="preserve">Page </w:t>
    </w:r>
    <w:r w:rsidRPr="008B244D">
      <w:rPr>
        <w:rFonts w:ascii="Arial" w:hAnsi="Arial" w:cs="Arial"/>
        <w:b/>
        <w:u w:val="single"/>
      </w:rPr>
      <w:fldChar w:fldCharType="begin"/>
    </w:r>
    <w:r w:rsidRPr="008B244D">
      <w:rPr>
        <w:rFonts w:ascii="Arial" w:hAnsi="Arial" w:cs="Arial"/>
        <w:b/>
        <w:u w:val="single"/>
      </w:rPr>
      <w:instrText xml:space="preserve"> PAGE </w:instrText>
    </w:r>
    <w:r w:rsidRPr="008B244D">
      <w:rPr>
        <w:rFonts w:ascii="Arial" w:hAnsi="Arial" w:cs="Arial"/>
        <w:b/>
        <w:u w:val="single"/>
      </w:rPr>
      <w:fldChar w:fldCharType="separate"/>
    </w:r>
    <w:r w:rsidR="007B0B5C">
      <w:rPr>
        <w:rFonts w:ascii="Arial" w:hAnsi="Arial" w:cs="Arial"/>
        <w:b/>
        <w:noProof/>
        <w:u w:val="single"/>
      </w:rPr>
      <w:t>1</w:t>
    </w:r>
    <w:r w:rsidRPr="008B244D">
      <w:rPr>
        <w:rFonts w:ascii="Arial" w:hAnsi="Arial" w:cs="Arial"/>
        <w:b/>
        <w:u w:val="single"/>
      </w:rPr>
      <w:fldChar w:fldCharType="end"/>
    </w:r>
    <w:r w:rsidRPr="008B244D">
      <w:rPr>
        <w:rFonts w:ascii="Arial" w:hAnsi="Arial" w:cs="Arial"/>
        <w:b/>
        <w:u w:val="single"/>
      </w:rPr>
      <w:t xml:space="preserve"> of </w:t>
    </w:r>
    <w:r w:rsidRPr="008B244D">
      <w:rPr>
        <w:rFonts w:ascii="Arial" w:hAnsi="Arial" w:cs="Arial"/>
        <w:b/>
        <w:u w:val="single"/>
      </w:rPr>
      <w:fldChar w:fldCharType="begin"/>
    </w:r>
    <w:r w:rsidRPr="008B244D">
      <w:rPr>
        <w:rFonts w:ascii="Arial" w:hAnsi="Arial" w:cs="Arial"/>
        <w:b/>
        <w:u w:val="single"/>
      </w:rPr>
      <w:instrText xml:space="preserve"> NUMPAGES </w:instrText>
    </w:r>
    <w:r w:rsidRPr="008B244D">
      <w:rPr>
        <w:rFonts w:ascii="Arial" w:hAnsi="Arial" w:cs="Arial"/>
        <w:b/>
        <w:u w:val="single"/>
      </w:rPr>
      <w:fldChar w:fldCharType="separate"/>
    </w:r>
    <w:r w:rsidR="007B0B5C">
      <w:rPr>
        <w:rFonts w:ascii="Arial" w:hAnsi="Arial" w:cs="Arial"/>
        <w:b/>
        <w:noProof/>
        <w:u w:val="single"/>
      </w:rPr>
      <w:t>1</w:t>
    </w:r>
    <w:r w:rsidRPr="008B244D">
      <w:rPr>
        <w:rFonts w:ascii="Arial" w:hAnsi="Arial" w:cs="Arial"/>
        <w:b/>
        <w:u w:val="singl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B50" w:rsidRDefault="00917B50" w:rsidP="0052235B">
      <w:pPr>
        <w:spacing w:after="0" w:line="240" w:lineRule="auto"/>
      </w:pPr>
      <w:r>
        <w:separator/>
      </w:r>
    </w:p>
  </w:footnote>
  <w:footnote w:type="continuationSeparator" w:id="0">
    <w:p w:rsidR="00917B50" w:rsidRDefault="00917B50" w:rsidP="0052235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3CEC" w:rsidRDefault="001E3CEC" w:rsidP="0040526D">
    <w:pPr>
      <w:spacing w:after="0" w:line="240" w:lineRule="auto"/>
      <w:jc w:val="both"/>
      <w:rPr>
        <w:rFonts w:ascii="Arial" w:hAnsi="Arial" w:cs="Arial"/>
        <w:b/>
        <w:bCs/>
        <w:u w:val="single"/>
      </w:rPr>
    </w:pPr>
    <w:r>
      <w:rPr>
        <w:rFonts w:ascii="Arial" w:hAnsi="Arial" w:cs="Arial"/>
        <w:b/>
        <w:bCs/>
        <w:u w:val="single"/>
      </w:rPr>
      <w:t>Clarification</w:t>
    </w:r>
    <w:r w:rsidRPr="008B244D">
      <w:rPr>
        <w:rFonts w:ascii="Arial" w:hAnsi="Arial" w:cs="Arial"/>
        <w:b/>
        <w:bCs/>
        <w:u w:val="single"/>
      </w:rPr>
      <w:t xml:space="preserve"> No.-</w:t>
    </w:r>
    <w:r>
      <w:rPr>
        <w:rFonts w:ascii="Arial" w:hAnsi="Arial" w:cs="Arial"/>
        <w:b/>
        <w:bCs/>
        <w:u w:val="single"/>
      </w:rPr>
      <w:t>1</w:t>
    </w:r>
    <w:r w:rsidRPr="008B244D">
      <w:rPr>
        <w:rFonts w:ascii="Arial" w:hAnsi="Arial" w:cs="Arial"/>
        <w:b/>
        <w:bCs/>
        <w:u w:val="single"/>
      </w:rPr>
      <w:t xml:space="preserve"> dated </w:t>
    </w:r>
    <w:r w:rsidR="0040526D">
      <w:rPr>
        <w:rFonts w:ascii="Arial" w:hAnsi="Arial" w:cs="Arial"/>
        <w:b/>
        <w:bCs/>
        <w:u w:val="single"/>
      </w:rPr>
      <w:t>28</w:t>
    </w:r>
    <w:r>
      <w:rPr>
        <w:rFonts w:ascii="Arial" w:hAnsi="Arial" w:cs="Arial"/>
        <w:b/>
        <w:bCs/>
        <w:u w:val="single"/>
      </w:rPr>
      <w:t>.02.</w:t>
    </w:r>
    <w:r w:rsidRPr="008B244D">
      <w:rPr>
        <w:rFonts w:ascii="Arial" w:hAnsi="Arial" w:cs="Arial"/>
        <w:b/>
        <w:bCs/>
        <w:u w:val="single"/>
      </w:rPr>
      <w:t>201</w:t>
    </w:r>
    <w:r>
      <w:rPr>
        <w:rFonts w:ascii="Arial" w:hAnsi="Arial" w:cs="Arial"/>
        <w:b/>
        <w:bCs/>
        <w:u w:val="single"/>
      </w:rPr>
      <w:t>9</w:t>
    </w:r>
    <w:r w:rsidRPr="008B244D">
      <w:rPr>
        <w:rFonts w:ascii="Arial" w:hAnsi="Arial" w:cs="Arial"/>
        <w:b/>
        <w:bCs/>
      </w:rPr>
      <w:t xml:space="preserve"> </w:t>
    </w:r>
    <w:r w:rsidRPr="001B6048">
      <w:rPr>
        <w:rFonts w:ascii="Arial" w:hAnsi="Arial" w:cs="Arial"/>
        <w:b/>
        <w:bCs/>
      </w:rPr>
      <w:t>to the Bidding Documents for</w:t>
    </w:r>
    <w:r w:rsidRPr="008B244D">
      <w:rPr>
        <w:rFonts w:ascii="Arial" w:hAnsi="Arial" w:cs="Arial"/>
      </w:rPr>
      <w:t xml:space="preserve"> </w:t>
    </w:r>
    <w:r w:rsidRPr="009E5635">
      <w:rPr>
        <w:rFonts w:ascii="Arial" w:hAnsi="Arial" w:cs="Arial"/>
        <w:b/>
        <w:bCs/>
        <w:u w:val="single"/>
      </w:rPr>
      <w:t>Tower Package</w:t>
    </w:r>
    <w:r>
      <w:rPr>
        <w:rFonts w:ascii="Arial" w:hAnsi="Arial" w:cs="Arial"/>
        <w:b/>
        <w:bCs/>
        <w:u w:val="single"/>
      </w:rPr>
      <w:t xml:space="preserve"> </w:t>
    </w:r>
    <w:r w:rsidRPr="00241290">
      <w:rPr>
        <w:rFonts w:ascii="Arial" w:hAnsi="Arial" w:cs="Arial"/>
        <w:b/>
        <w:bCs/>
        <w:u w:val="single"/>
      </w:rPr>
      <w:t>TW03</w:t>
    </w:r>
    <w:r w:rsidRPr="001638BC">
      <w:rPr>
        <w:rFonts w:ascii="Arial" w:hAnsi="Arial" w:cs="Arial"/>
        <w:b/>
        <w:bCs/>
      </w:rPr>
      <w:t xml:space="preserve"> for: (i) LILO of both circuits of 765kV D/C </w:t>
    </w:r>
    <w:proofErr w:type="spellStart"/>
    <w:r w:rsidRPr="001638BC">
      <w:rPr>
        <w:rFonts w:ascii="Arial" w:hAnsi="Arial" w:cs="Arial"/>
        <w:b/>
        <w:bCs/>
      </w:rPr>
      <w:t>Fatehgarh</w:t>
    </w:r>
    <w:proofErr w:type="spellEnd"/>
    <w:r w:rsidRPr="001638BC">
      <w:rPr>
        <w:rFonts w:ascii="Arial" w:hAnsi="Arial" w:cs="Arial"/>
        <w:b/>
        <w:bCs/>
      </w:rPr>
      <w:t>(TBCB) –</w:t>
    </w:r>
    <w:proofErr w:type="spellStart"/>
    <w:r w:rsidRPr="001638BC">
      <w:rPr>
        <w:rFonts w:ascii="Arial" w:hAnsi="Arial" w:cs="Arial"/>
        <w:b/>
        <w:bCs/>
      </w:rPr>
      <w:t>Bhadla</w:t>
    </w:r>
    <w:proofErr w:type="spellEnd"/>
    <w:r w:rsidRPr="001638BC">
      <w:rPr>
        <w:rFonts w:ascii="Arial" w:hAnsi="Arial" w:cs="Arial"/>
        <w:b/>
        <w:bCs/>
      </w:rPr>
      <w:t xml:space="preserve">(PG) line at Fatehgarh-2 PS and (ii) 400kV D/C Bhadla-2 – </w:t>
    </w:r>
    <w:proofErr w:type="spellStart"/>
    <w:r w:rsidRPr="001638BC">
      <w:rPr>
        <w:rFonts w:ascii="Arial" w:hAnsi="Arial" w:cs="Arial"/>
        <w:b/>
        <w:bCs/>
      </w:rPr>
      <w:t>Bhadla</w:t>
    </w:r>
    <w:proofErr w:type="spellEnd"/>
    <w:r w:rsidRPr="001638BC">
      <w:rPr>
        <w:rFonts w:ascii="Arial" w:hAnsi="Arial" w:cs="Arial"/>
        <w:b/>
        <w:bCs/>
      </w:rPr>
      <w:t xml:space="preserve"> (PG) line (Twin HTLS) associated with Transmission Scheme for Solar Energy Zones in Rajasthan.</w:t>
    </w:r>
  </w:p>
  <w:p w:rsidR="0052235B" w:rsidRPr="001E3CEC" w:rsidRDefault="001E3CEC" w:rsidP="0040526D">
    <w:pPr>
      <w:pBdr>
        <w:bottom w:val="single" w:sz="4" w:space="1" w:color="auto"/>
      </w:pBdr>
      <w:spacing w:after="0" w:line="240" w:lineRule="auto"/>
      <w:ind w:left="720" w:hanging="720"/>
      <w:jc w:val="both"/>
    </w:pPr>
    <w:r w:rsidRPr="00BD2A38">
      <w:rPr>
        <w:rFonts w:ascii="Arial" w:hAnsi="Arial" w:cs="Arial"/>
        <w:b/>
        <w:bCs/>
      </w:rPr>
      <w:t>Specification No</w:t>
    </w:r>
    <w:r>
      <w:rPr>
        <w:rFonts w:ascii="Arial" w:hAnsi="Arial" w:cs="Arial"/>
        <w:b/>
        <w:bCs/>
      </w:rPr>
      <w:t>.</w:t>
    </w:r>
    <w:r w:rsidRPr="00BD2A38">
      <w:rPr>
        <w:rFonts w:ascii="Arial" w:hAnsi="Arial" w:cs="Arial"/>
        <w:b/>
        <w:bCs/>
      </w:rPr>
      <w:t xml:space="preserve">: </w:t>
    </w:r>
    <w:r w:rsidRPr="001638BC">
      <w:rPr>
        <w:rFonts w:ascii="Arial" w:hAnsi="Arial" w:cs="Arial"/>
        <w:b/>
        <w:bCs/>
      </w:rPr>
      <w:t>CC-CS/912-NR1/TW-3957/3/G3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B739E"/>
    <w:multiLevelType w:val="hybridMultilevel"/>
    <w:tmpl w:val="2828F07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2E411F"/>
    <w:multiLevelType w:val="hybridMultilevel"/>
    <w:tmpl w:val="175EED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F6D66"/>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B876368"/>
    <w:multiLevelType w:val="hybridMultilevel"/>
    <w:tmpl w:val="2BD4D01E"/>
    <w:lvl w:ilvl="0" w:tplc="CD9A48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25B6F2F"/>
    <w:multiLevelType w:val="hybridMultilevel"/>
    <w:tmpl w:val="A2D41D2C"/>
    <w:lvl w:ilvl="0" w:tplc="40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463B7F63"/>
    <w:multiLevelType w:val="hybridMultilevel"/>
    <w:tmpl w:val="DB54B1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572409A"/>
    <w:multiLevelType w:val="hybridMultilevel"/>
    <w:tmpl w:val="53C2D4CE"/>
    <w:lvl w:ilvl="0" w:tplc="A8CC1B36">
      <w:start w:val="1"/>
      <w:numFmt w:val="bullet"/>
      <w:lvlText w:val="-"/>
      <w:lvlJc w:val="left"/>
      <w:pPr>
        <w:tabs>
          <w:tab w:val="num" w:pos="1800"/>
        </w:tabs>
        <w:ind w:left="1800" w:hanging="360"/>
      </w:pPr>
      <w:rPr>
        <w:rFonts w:ascii="Palatino Linotype" w:eastAsia="Times New Roman" w:hAnsi="Palatino Linotype" w:cs="Aria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nsid w:val="5D7B04C2"/>
    <w:multiLevelType w:val="hybridMultilevel"/>
    <w:tmpl w:val="B80E7312"/>
    <w:lvl w:ilvl="0" w:tplc="F38AA9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B121CB"/>
    <w:multiLevelType w:val="hybridMultilevel"/>
    <w:tmpl w:val="2CEE308C"/>
    <w:lvl w:ilvl="0" w:tplc="8BE439E0">
      <w:start w:val="2"/>
      <w:numFmt w:val="bullet"/>
      <w:lvlText w:val="-"/>
      <w:lvlJc w:val="left"/>
      <w:pPr>
        <w:ind w:left="720" w:hanging="360"/>
      </w:pPr>
      <w:rPr>
        <w:rFonts w:ascii="Book Antiqua" w:eastAsiaTheme="minorHAnsi" w:hAnsi="Book Antiqua" w:cs="Bookman Old Style"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917BAA"/>
    <w:multiLevelType w:val="multilevel"/>
    <w:tmpl w:val="242ADE18"/>
    <w:lvl w:ilvl="0">
      <w:start w:val="5"/>
      <w:numFmt w:val="decimal"/>
      <w:suff w:val="space"/>
      <w:lvlText w:val="%1."/>
      <w:lvlJc w:val="left"/>
      <w:pPr>
        <w:ind w:left="360" w:hanging="360"/>
      </w:pPr>
      <w:rPr>
        <w:rFonts w:ascii="Times New Roman" w:hAnsi="Times New Roman" w:hint="default"/>
        <w:b/>
        <w:i w:val="0"/>
        <w:sz w:val="24"/>
      </w:rPr>
    </w:lvl>
    <w:lvl w:ilvl="1">
      <w:start w:val="1"/>
      <w:numFmt w:val="decimal"/>
      <w:suff w:val="space"/>
      <w:lvlText w:val="%1.%2"/>
      <w:lvlJc w:val="left"/>
      <w:pPr>
        <w:ind w:left="0" w:firstLine="360"/>
      </w:pPr>
      <w:rPr>
        <w:rFonts w:ascii="Times New Roman" w:hAnsi="Times New Roman" w:hint="default"/>
        <w:b w:val="0"/>
        <w:i w:val="0"/>
        <w:sz w:val="24"/>
      </w:rPr>
    </w:lvl>
    <w:lvl w:ilvl="2">
      <w:start w:val="1"/>
      <w:numFmt w:val="decimal"/>
      <w:suff w:val="space"/>
      <w:lvlText w:val="%1.%2.%3"/>
      <w:lvlJc w:val="left"/>
      <w:pPr>
        <w:ind w:left="0" w:firstLine="360"/>
      </w:pPr>
      <w:rPr>
        <w:rFonts w:ascii="Times New Roman" w:hAnsi="Times New Roman" w:hint="default"/>
        <w:b w:val="0"/>
        <w:i w:val="0"/>
        <w:sz w:val="24"/>
      </w:rPr>
    </w:lvl>
    <w:lvl w:ilvl="3">
      <w:start w:val="1"/>
      <w:numFmt w:val="decimal"/>
      <w:suff w:val="space"/>
      <w:lvlText w:val="%1.%2.%3.%4"/>
      <w:lvlJc w:val="left"/>
      <w:pPr>
        <w:ind w:left="0" w:firstLine="360"/>
      </w:pPr>
      <w:rPr>
        <w:rFonts w:ascii="Times New Roman" w:hAnsi="Times New Roman" w:hint="default"/>
        <w:b w:val="0"/>
        <w:i w:val="0"/>
        <w:sz w:val="24"/>
      </w:rPr>
    </w:lvl>
    <w:lvl w:ilvl="4">
      <w:start w:val="1"/>
      <w:numFmt w:val="decimal"/>
      <w:suff w:val="space"/>
      <w:lvlText w:val="%1.%2.%3.%4.%5"/>
      <w:lvlJc w:val="left"/>
      <w:pPr>
        <w:ind w:left="0" w:firstLine="360"/>
      </w:pPr>
      <w:rPr>
        <w:rFonts w:ascii="Times New Roman" w:hAnsi="Times New Roman" w:hint="default"/>
        <w:b w:val="0"/>
        <w:i w:val="0"/>
        <w:sz w:val="24"/>
      </w:rPr>
    </w:lvl>
    <w:lvl w:ilvl="5">
      <w:start w:val="1"/>
      <w:numFmt w:val="decimal"/>
      <w:suff w:val="space"/>
      <w:lvlText w:val="%1.%2.%3.%4.%5.%6"/>
      <w:lvlJc w:val="left"/>
      <w:pPr>
        <w:ind w:left="0" w:firstLine="360"/>
      </w:pPr>
      <w:rPr>
        <w:rFonts w:ascii="Times New Roman" w:hAnsi="Times New Roman" w:hint="default"/>
        <w:b w:val="0"/>
        <w:i w:val="0"/>
        <w:sz w:val="24"/>
      </w:rPr>
    </w:lvl>
    <w:lvl w:ilvl="6">
      <w:start w:val="1"/>
      <w:numFmt w:val="decimal"/>
      <w:suff w:val="space"/>
      <w:lvlText w:val="%1.%2.%3.%4.%5.%6.%7"/>
      <w:lvlJc w:val="left"/>
      <w:pPr>
        <w:ind w:left="0" w:firstLine="360"/>
      </w:pPr>
      <w:rPr>
        <w:rFonts w:ascii="Times New Roman" w:hAnsi="Times New Roman" w:hint="default"/>
        <w:b w:val="0"/>
        <w:i w:val="0"/>
        <w:sz w:val="24"/>
      </w:rPr>
    </w:lvl>
    <w:lvl w:ilvl="7">
      <w:start w:val="1"/>
      <w:numFmt w:val="decimal"/>
      <w:suff w:val="space"/>
      <w:lvlText w:val="%1.%2.%3.%4.%5.%6.%7.%8"/>
      <w:lvlJc w:val="left"/>
      <w:pPr>
        <w:ind w:left="0" w:firstLine="360"/>
      </w:pPr>
      <w:rPr>
        <w:rFonts w:ascii="Times New Roman" w:hAnsi="Times New Roman" w:hint="default"/>
        <w:b w:val="0"/>
        <w:i w:val="0"/>
        <w:sz w:val="24"/>
      </w:rPr>
    </w:lvl>
    <w:lvl w:ilvl="8">
      <w:start w:val="1"/>
      <w:numFmt w:val="decimal"/>
      <w:suff w:val="space"/>
      <w:lvlText w:val="%1.%2.%3.%4.%5.%6.%7.%8.%9"/>
      <w:lvlJc w:val="left"/>
      <w:pPr>
        <w:ind w:left="0" w:firstLine="360"/>
      </w:pPr>
      <w:rPr>
        <w:rFonts w:ascii="Times New Roman" w:hAnsi="Times New Roman" w:hint="default"/>
        <w:b w:val="0"/>
        <w:i w:val="0"/>
        <w:sz w:val="24"/>
      </w:rPr>
    </w:lvl>
  </w:abstractNum>
  <w:abstractNum w:abstractNumId="10">
    <w:nsid w:val="7B454A18"/>
    <w:multiLevelType w:val="hybridMultilevel"/>
    <w:tmpl w:val="727A14A6"/>
    <w:lvl w:ilvl="0" w:tplc="A8CC1B36">
      <w:start w:val="1"/>
      <w:numFmt w:val="bullet"/>
      <w:lvlText w:val="-"/>
      <w:lvlJc w:val="left"/>
      <w:pPr>
        <w:ind w:left="720" w:hanging="360"/>
      </w:pPr>
      <w:rPr>
        <w:rFonts w:ascii="Palatino Linotype" w:eastAsia="Times New Roman" w:hAnsi="Palatino Linotype"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7"/>
  </w:num>
  <w:num w:numId="6">
    <w:abstractNumId w:val="8"/>
  </w:num>
  <w:num w:numId="7">
    <w:abstractNumId w:val="4"/>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574"/>
    <w:rsid w:val="000073EF"/>
    <w:rsid w:val="000172C6"/>
    <w:rsid w:val="0003361E"/>
    <w:rsid w:val="00041234"/>
    <w:rsid w:val="000C4A10"/>
    <w:rsid w:val="000F36BF"/>
    <w:rsid w:val="000F6472"/>
    <w:rsid w:val="000F7B44"/>
    <w:rsid w:val="00135021"/>
    <w:rsid w:val="00137BC0"/>
    <w:rsid w:val="001611B6"/>
    <w:rsid w:val="0017193D"/>
    <w:rsid w:val="0017513A"/>
    <w:rsid w:val="0019074C"/>
    <w:rsid w:val="001A752D"/>
    <w:rsid w:val="001E3CEC"/>
    <w:rsid w:val="0026592C"/>
    <w:rsid w:val="0028173B"/>
    <w:rsid w:val="00290D08"/>
    <w:rsid w:val="002D7574"/>
    <w:rsid w:val="00313938"/>
    <w:rsid w:val="003441D5"/>
    <w:rsid w:val="00360D42"/>
    <w:rsid w:val="003A7105"/>
    <w:rsid w:val="003E6D0D"/>
    <w:rsid w:val="0040526D"/>
    <w:rsid w:val="00411159"/>
    <w:rsid w:val="004222C4"/>
    <w:rsid w:val="004241F1"/>
    <w:rsid w:val="00426517"/>
    <w:rsid w:val="00466B38"/>
    <w:rsid w:val="004751BD"/>
    <w:rsid w:val="004876A3"/>
    <w:rsid w:val="004A23A5"/>
    <w:rsid w:val="004A5755"/>
    <w:rsid w:val="004C385F"/>
    <w:rsid w:val="004E14ED"/>
    <w:rsid w:val="005045F2"/>
    <w:rsid w:val="0050590D"/>
    <w:rsid w:val="005168F0"/>
    <w:rsid w:val="0052235B"/>
    <w:rsid w:val="0052280C"/>
    <w:rsid w:val="0054306F"/>
    <w:rsid w:val="005866D2"/>
    <w:rsid w:val="005A2E69"/>
    <w:rsid w:val="005D1D02"/>
    <w:rsid w:val="00605229"/>
    <w:rsid w:val="006820B9"/>
    <w:rsid w:val="006A054D"/>
    <w:rsid w:val="006C05C5"/>
    <w:rsid w:val="006E1673"/>
    <w:rsid w:val="006F4CBB"/>
    <w:rsid w:val="0072052A"/>
    <w:rsid w:val="00732025"/>
    <w:rsid w:val="00762256"/>
    <w:rsid w:val="00785CC6"/>
    <w:rsid w:val="007A46D3"/>
    <w:rsid w:val="007B0B5C"/>
    <w:rsid w:val="007B51C2"/>
    <w:rsid w:val="007E5570"/>
    <w:rsid w:val="00816F25"/>
    <w:rsid w:val="008318A7"/>
    <w:rsid w:val="008320F9"/>
    <w:rsid w:val="00853B4D"/>
    <w:rsid w:val="00861598"/>
    <w:rsid w:val="00874EEC"/>
    <w:rsid w:val="008A1511"/>
    <w:rsid w:val="008E1970"/>
    <w:rsid w:val="008E373B"/>
    <w:rsid w:val="008E77D0"/>
    <w:rsid w:val="008F0FD8"/>
    <w:rsid w:val="00917B50"/>
    <w:rsid w:val="00923771"/>
    <w:rsid w:val="00924DE3"/>
    <w:rsid w:val="00932A95"/>
    <w:rsid w:val="00934981"/>
    <w:rsid w:val="00953CB9"/>
    <w:rsid w:val="00981A9A"/>
    <w:rsid w:val="00982E5E"/>
    <w:rsid w:val="009D357A"/>
    <w:rsid w:val="009D3912"/>
    <w:rsid w:val="009E4CD2"/>
    <w:rsid w:val="009F322F"/>
    <w:rsid w:val="00AA295E"/>
    <w:rsid w:val="00AD5055"/>
    <w:rsid w:val="00AE099E"/>
    <w:rsid w:val="00AF5340"/>
    <w:rsid w:val="00AF6DDE"/>
    <w:rsid w:val="00B0142B"/>
    <w:rsid w:val="00B060F4"/>
    <w:rsid w:val="00B24E0F"/>
    <w:rsid w:val="00B265A8"/>
    <w:rsid w:val="00B71E81"/>
    <w:rsid w:val="00B74701"/>
    <w:rsid w:val="00B9487A"/>
    <w:rsid w:val="00BA2F6A"/>
    <w:rsid w:val="00BB1870"/>
    <w:rsid w:val="00BB7067"/>
    <w:rsid w:val="00C079CE"/>
    <w:rsid w:val="00C241DD"/>
    <w:rsid w:val="00C258E6"/>
    <w:rsid w:val="00C62682"/>
    <w:rsid w:val="00C72A65"/>
    <w:rsid w:val="00C74B83"/>
    <w:rsid w:val="00C82E2F"/>
    <w:rsid w:val="00C8390F"/>
    <w:rsid w:val="00CB2BE7"/>
    <w:rsid w:val="00CC5BB7"/>
    <w:rsid w:val="00D6715D"/>
    <w:rsid w:val="00D706D8"/>
    <w:rsid w:val="00D7557B"/>
    <w:rsid w:val="00DB1D3B"/>
    <w:rsid w:val="00DD1B2F"/>
    <w:rsid w:val="00DD452E"/>
    <w:rsid w:val="00DF31C0"/>
    <w:rsid w:val="00E529AE"/>
    <w:rsid w:val="00E54661"/>
    <w:rsid w:val="00E55B7C"/>
    <w:rsid w:val="00E82A2A"/>
    <w:rsid w:val="00EC7BA0"/>
    <w:rsid w:val="00ED0ACA"/>
    <w:rsid w:val="00ED41D0"/>
    <w:rsid w:val="00ED6C73"/>
    <w:rsid w:val="00F05783"/>
    <w:rsid w:val="00F25908"/>
    <w:rsid w:val="00F50A3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qFormat/>
    <w:rsid w:val="001E3CEC"/>
    <w:pPr>
      <w:keepNext/>
      <w:spacing w:after="0" w:line="240" w:lineRule="auto"/>
      <w:jc w:val="center"/>
      <w:outlineLvl w:val="2"/>
    </w:pPr>
    <w:rPr>
      <w:rFonts w:ascii="Arial" w:eastAsia="Times New Roman" w:hAnsi="Arial" w:cs="Arial"/>
      <w:b/>
      <w:bCs/>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F5340"/>
    <w:pPr>
      <w:autoSpaceDE w:val="0"/>
      <w:autoSpaceDN w:val="0"/>
      <w:adjustRightInd w:val="0"/>
      <w:spacing w:after="0" w:line="240" w:lineRule="auto"/>
    </w:pPr>
    <w:rPr>
      <w:rFonts w:ascii="Bookman Old Style" w:hAnsi="Bookman Old Style" w:cs="Bookman Old Style"/>
      <w:color w:val="000000"/>
      <w:sz w:val="24"/>
      <w:szCs w:val="24"/>
    </w:rPr>
  </w:style>
  <w:style w:type="table" w:styleId="TableGrid">
    <w:name w:val="Table Grid"/>
    <w:basedOn w:val="TableNormal"/>
    <w:rsid w:val="00AF5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M10">
    <w:name w:val="CM10"/>
    <w:basedOn w:val="Default"/>
    <w:next w:val="Default"/>
    <w:uiPriority w:val="99"/>
    <w:rsid w:val="006C05C5"/>
    <w:pPr>
      <w:widowControl w:val="0"/>
    </w:pPr>
    <w:rPr>
      <w:rFonts w:ascii="Palatino Linotype" w:eastAsia="Times New Roman" w:hAnsi="Palatino Linotype" w:cs="Times New Roman"/>
      <w:color w:val="auto"/>
      <w:lang w:val="en-US"/>
    </w:rPr>
  </w:style>
  <w:style w:type="paragraph" w:customStyle="1" w:styleId="CM13">
    <w:name w:val="CM13"/>
    <w:basedOn w:val="Default"/>
    <w:next w:val="Default"/>
    <w:uiPriority w:val="99"/>
    <w:rsid w:val="006C05C5"/>
    <w:pPr>
      <w:widowControl w:val="0"/>
    </w:pPr>
    <w:rPr>
      <w:rFonts w:ascii="Palatino Linotype" w:eastAsia="Times New Roman" w:hAnsi="Palatino Linotype" w:cs="Times New Roman"/>
      <w:color w:val="auto"/>
      <w:lang w:val="en-US"/>
    </w:rPr>
  </w:style>
  <w:style w:type="paragraph" w:styleId="ListParagraph">
    <w:name w:val="List Paragraph"/>
    <w:basedOn w:val="Normal"/>
    <w:uiPriority w:val="34"/>
    <w:qFormat/>
    <w:rsid w:val="006C05C5"/>
    <w:pPr>
      <w:ind w:left="720"/>
      <w:contextualSpacing/>
    </w:pPr>
  </w:style>
  <w:style w:type="paragraph" w:customStyle="1" w:styleId="CM9">
    <w:name w:val="CM9"/>
    <w:basedOn w:val="Default"/>
    <w:next w:val="Default"/>
    <w:uiPriority w:val="99"/>
    <w:rsid w:val="00C72A65"/>
    <w:pPr>
      <w:widowControl w:val="0"/>
    </w:pPr>
    <w:rPr>
      <w:rFonts w:ascii="Palatino Linotype" w:eastAsia="Times New Roman" w:hAnsi="Palatino Linotype" w:cs="Times New Roman"/>
      <w:color w:val="auto"/>
      <w:lang w:val="en-US"/>
    </w:rPr>
  </w:style>
  <w:style w:type="paragraph" w:styleId="BalloonText">
    <w:name w:val="Balloon Text"/>
    <w:basedOn w:val="Normal"/>
    <w:link w:val="BalloonTextChar"/>
    <w:uiPriority w:val="99"/>
    <w:semiHidden/>
    <w:unhideWhenUsed/>
    <w:rsid w:val="005430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06F"/>
    <w:rPr>
      <w:rFonts w:ascii="Segoe UI" w:hAnsi="Segoe UI" w:cs="Segoe UI"/>
      <w:sz w:val="18"/>
      <w:szCs w:val="18"/>
    </w:rPr>
  </w:style>
  <w:style w:type="character" w:styleId="CommentReference">
    <w:name w:val="annotation reference"/>
    <w:basedOn w:val="DefaultParagraphFont"/>
    <w:uiPriority w:val="99"/>
    <w:semiHidden/>
    <w:unhideWhenUsed/>
    <w:rsid w:val="003A7105"/>
    <w:rPr>
      <w:sz w:val="16"/>
      <w:szCs w:val="16"/>
    </w:rPr>
  </w:style>
  <w:style w:type="paragraph" w:styleId="CommentText">
    <w:name w:val="annotation text"/>
    <w:basedOn w:val="Normal"/>
    <w:link w:val="CommentTextChar"/>
    <w:uiPriority w:val="99"/>
    <w:semiHidden/>
    <w:unhideWhenUsed/>
    <w:rsid w:val="003A7105"/>
    <w:pPr>
      <w:spacing w:line="240" w:lineRule="auto"/>
    </w:pPr>
    <w:rPr>
      <w:sz w:val="20"/>
      <w:szCs w:val="20"/>
    </w:rPr>
  </w:style>
  <w:style w:type="character" w:customStyle="1" w:styleId="CommentTextChar">
    <w:name w:val="Comment Text Char"/>
    <w:basedOn w:val="DefaultParagraphFont"/>
    <w:link w:val="CommentText"/>
    <w:uiPriority w:val="99"/>
    <w:semiHidden/>
    <w:rsid w:val="003A7105"/>
    <w:rPr>
      <w:sz w:val="20"/>
      <w:szCs w:val="20"/>
    </w:rPr>
  </w:style>
  <w:style w:type="paragraph" w:styleId="CommentSubject">
    <w:name w:val="annotation subject"/>
    <w:basedOn w:val="CommentText"/>
    <w:next w:val="CommentText"/>
    <w:link w:val="CommentSubjectChar"/>
    <w:uiPriority w:val="99"/>
    <w:semiHidden/>
    <w:unhideWhenUsed/>
    <w:rsid w:val="003A7105"/>
    <w:rPr>
      <w:b/>
      <w:bCs/>
    </w:rPr>
  </w:style>
  <w:style w:type="character" w:customStyle="1" w:styleId="CommentSubjectChar">
    <w:name w:val="Comment Subject Char"/>
    <w:basedOn w:val="CommentTextChar"/>
    <w:link w:val="CommentSubject"/>
    <w:uiPriority w:val="99"/>
    <w:semiHidden/>
    <w:rsid w:val="003A7105"/>
    <w:rPr>
      <w:b/>
      <w:bCs/>
      <w:sz w:val="20"/>
      <w:szCs w:val="20"/>
    </w:rPr>
  </w:style>
  <w:style w:type="paragraph" w:styleId="BodyTextIndent">
    <w:name w:val="Body Text Indent"/>
    <w:basedOn w:val="Normal"/>
    <w:link w:val="BodyTextIndentChar"/>
    <w:rsid w:val="00B9487A"/>
    <w:pPr>
      <w:tabs>
        <w:tab w:val="left" w:pos="1701"/>
        <w:tab w:val="left" w:pos="3515"/>
        <w:tab w:val="left" w:pos="4819"/>
        <w:tab w:val="left" w:pos="6066"/>
        <w:tab w:val="left" w:pos="7767"/>
      </w:tabs>
      <w:spacing w:after="170" w:line="240" w:lineRule="auto"/>
      <w:ind w:left="1440" w:hanging="1440"/>
    </w:pPr>
    <w:rPr>
      <w:rFonts w:ascii="Helvetica" w:eastAsia="Times New Roman" w:hAnsi="Helvetica" w:cs="Times New Roman"/>
      <w:snapToGrid w:val="0"/>
      <w:sz w:val="16"/>
      <w:szCs w:val="20"/>
      <w:lang w:val="en-US"/>
    </w:rPr>
  </w:style>
  <w:style w:type="character" w:customStyle="1" w:styleId="BodyTextIndentChar">
    <w:name w:val="Body Text Indent Char"/>
    <w:basedOn w:val="DefaultParagraphFont"/>
    <w:link w:val="BodyTextIndent"/>
    <w:rsid w:val="00B9487A"/>
    <w:rPr>
      <w:rFonts w:ascii="Helvetica" w:eastAsia="Times New Roman" w:hAnsi="Helvetica" w:cs="Times New Roman"/>
      <w:snapToGrid w:val="0"/>
      <w:sz w:val="16"/>
      <w:szCs w:val="20"/>
      <w:lang w:val="en-US"/>
    </w:rPr>
  </w:style>
  <w:style w:type="paragraph" w:customStyle="1" w:styleId="HeaderBase">
    <w:name w:val="Header Base"/>
    <w:basedOn w:val="Normal"/>
    <w:rsid w:val="00AE099E"/>
    <w:pPr>
      <w:keepLines/>
      <w:tabs>
        <w:tab w:val="center" w:pos="4320"/>
        <w:tab w:val="right" w:pos="8640"/>
      </w:tabs>
      <w:spacing w:before="60" w:after="20" w:line="240" w:lineRule="auto"/>
    </w:pPr>
    <w:rPr>
      <w:rFonts w:ascii="Garamond" w:eastAsia="Times New Roman" w:hAnsi="Garamond" w:cs="Times New Roman"/>
      <w:snapToGrid w:val="0"/>
      <w:sz w:val="24"/>
      <w:szCs w:val="20"/>
      <w:lang w:val="en-US"/>
    </w:rPr>
  </w:style>
  <w:style w:type="paragraph" w:styleId="NoSpacing">
    <w:name w:val="No Spacing"/>
    <w:uiPriority w:val="1"/>
    <w:qFormat/>
    <w:rsid w:val="000073EF"/>
    <w:pPr>
      <w:spacing w:after="0" w:line="240" w:lineRule="auto"/>
    </w:pPr>
  </w:style>
  <w:style w:type="paragraph" w:styleId="Header">
    <w:name w:val="header"/>
    <w:basedOn w:val="Normal"/>
    <w:link w:val="HeaderChar"/>
    <w:uiPriority w:val="99"/>
    <w:unhideWhenUsed/>
    <w:rsid w:val="0052235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235B"/>
  </w:style>
  <w:style w:type="paragraph" w:styleId="Footer">
    <w:name w:val="footer"/>
    <w:basedOn w:val="Normal"/>
    <w:link w:val="FooterChar"/>
    <w:uiPriority w:val="99"/>
    <w:unhideWhenUsed/>
    <w:rsid w:val="005223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235B"/>
  </w:style>
  <w:style w:type="character" w:customStyle="1" w:styleId="Heading3Char">
    <w:name w:val="Heading 3 Char"/>
    <w:basedOn w:val="DefaultParagraphFont"/>
    <w:link w:val="Heading3"/>
    <w:rsid w:val="001E3CEC"/>
    <w:rPr>
      <w:rFonts w:ascii="Arial" w:eastAsia="Times New Roman" w:hAnsi="Arial" w:cs="Arial"/>
      <w:b/>
      <w:bCs/>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282</Words>
  <Characters>1610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Bhavik</dc:creator>
  <cp:lastModifiedBy>Satendra Singh Sengar {सतेन्द्र सिंह सेंगर}</cp:lastModifiedBy>
  <cp:revision>10</cp:revision>
  <cp:lastPrinted>2019-02-21T07:15:00Z</cp:lastPrinted>
  <dcterms:created xsi:type="dcterms:W3CDTF">2019-02-21T05:20:00Z</dcterms:created>
  <dcterms:modified xsi:type="dcterms:W3CDTF">2019-02-28T10:05:00Z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